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480" w:after="240" w:line="480" w:lineRule="atLeast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Деятель культуры и искусства</w:t>
      </w: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en-US"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Иван</w:t>
      </w: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en-US" w:eastAsia="ru-RU"/>
        </w:rPr>
        <w:t xml:space="preserve"> Константинович </w:t>
      </w:r>
      <w:bookmarkEnd w:id="0"/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en-US" w:eastAsia="ru-RU"/>
        </w:rPr>
        <w:t xml:space="preserve">Айвазовский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 (Ованес Айвазян)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Годы жизни: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 1817 – 1900 гг.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Связь с Нижегородской областью и РФ: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Велик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ий художник-маринист, выходец из армянской семьи. Имел прочные связи с Нижним Новгородом: сохранилось письмо Айвазовского министру юстиции графу Виктору Панину с просьбой о приобретении его картины «Девятый вал», хранящееся в архиве Нижегородской области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Вклад в культуру России: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Создал более 6000 полоте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н, прославивших русский флот и морские сражения. Его работы «Девятый вал», «Чесменский бой», «Бриг «Меркурий» стали символами русского морского могущества. Айвазовский был не только художником, но и меценатом, финансировавшим раскопки и культурные проекты.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Награды и звания: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1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Академик Императорской Академии художеств;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1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Почетный член Академии художеств в Риме, Париже, Флоренции;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1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Орден Почётного легиона (Франция).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Архивные данные: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В фондах Центрального архива Нижегородской области хранится подлинное письмо художника (1851 г.) — свидетельство его связи с Нижегородской землёй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Идея памяти: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Имя Айвазовского носит детская школа искусств №18 в Нижнем Новгороде (с 2015 г.) . Его наследие напоминает: искусство не знает национальностей — оно служит единству и красоте.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Герой труда и общественный деятель: Лидия Левоновна Погосян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 (Самкович-Погосян)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Годы жизни: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 1939 – настоящее время</w:t>
      </w:r>
      <w:r>
        <w:rPr>
          <w:rFonts w:ascii="Times New Roman" w:hAnsi="Times New Roman" w:cs="Times New Roman"/>
          <w:color w:val="0f1115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Связь с Нижегородской областью: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Родилась в Степанакерте (Нагорный Карабах). С 1974 года живёт и работает в Нижнем Новгороде. Старший научный сотрудник ЦНИИ «Буревестник»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Вклад и подвиг: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В годы распада СССР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, когда поток беженцев из Армении и Баку хлынул в Россию, она организовала общественную организацию «Нижегородская армянская община» (1993 г.) . Занималась устройством беженцев, организовывала сбор помощи пострадавшим от землетрясения в Армении (1988 г.)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 xml:space="preserve">Архивные/малоизвестные данные: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В 1995 году создала первую в регионе армянскую воскресную школу. Инициировала издание альманаха «Наири» (совместно с ННГУ им. Лобачевского, с 2004 г.), где публикуются уникальные материалы об армянской диаспоре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Награды: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2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Медаль В.Я. Брюсова за вклад в развитие русско-армянских гуманитарных связей;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2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Ветеран труда.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hint="default"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Патриотическая ценность: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Лидия Погосян — живой пример служения ближнему. В интервью она сказала: 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eastAsia="ru-RU"/>
        </w:rPr>
        <w:t xml:space="preserve">«Мы сохраним свою веру, письменность и культуру, а, следовательно, и себя как нацию»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 </w:t>
      </w:r>
      <w:r>
        <w:rPr>
          <w:rFonts w:hint="default" w:ascii="Times New Roman" w:hAnsi="Times New Roman" w:eastAsia="Times New Roman" w:cs="Times New Roman"/>
          <w:color w:val="0f1115"/>
          <w:sz w:val="28"/>
          <w:szCs w:val="28"/>
          <w:lang w:val="en-US" w:eastAsia="ru-RU"/>
        </w:rPr>
        <w:t xml:space="preserve">.</w:t>
      </w:r>
      <w:r>
        <w:rPr>
          <w:rFonts w:hint="default"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Общественный деятель, дипломат: </w:t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Агаси Алекович Алекян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Годы жизни: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 1965 – настоящее время</w:t>
      </w:r>
      <w:r>
        <w:rPr>
          <w:rFonts w:ascii="Times New Roman" w:hAnsi="Times New Roman" w:cs="Times New Roman"/>
          <w:color w:val="0f1115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Связь с Нижегородской областью и РФ: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Родился в селе Гарни (Республика Армения). Высшее образование получил в Горьковском государственном университете им. Н.И. Лобачевского, на экономическом факультете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Вклад в укрепление межнациональных отношений: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Председатель Нижегородской армянской общины (с 2008 г., позднее — Почётный консул Республики Армения в Нижегородской области, назначен в 2020 г.)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Ключевые достижения: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</w:r>
    </w:p>
    <w:p>
      <w:pPr>
        <w:numPr>
          <w:ilvl w:val="0"/>
          <w:numId w:val="3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Подписал соглашение о сотрудничестве с Вайоцдзорской областью Армении (2011 г.).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3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Добился присвоения школе в армянском городе Джермук имени Максима Горького (2013 г.)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3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Инициировал присвоение нижегородской ДШИ №18 имени Арама Хачатуряна (2015 г.)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3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Активно занимается благотворительностью, поддерживает талантливых детей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Награды и статус: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4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Почётный консул Республики Армения в Нижегородской области (ранг, приравниваемый к государственной награде);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numPr>
          <w:ilvl w:val="0"/>
          <w:numId w:val="4"/>
        </w:numPr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Благодарности Губернатора Нижегородской области.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Малоизвестный факт: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Алекян лично участвовал в создании купольных крестов для здания Нижегородской армянской церкви (автор проекта — Ара Мартиросян, мастер при общине Алекяна) .</w:t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 xml:space="preserve">Идея памяти: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Деятельность Агаси Алекяна — это мост дружбы между Россией и Арменией. Он учит, что патриотизм не имеет границ: помогая своей исторической родине, ты укрепляешь и ту страну, где живёшь сегодня.</w:t>
      </w:r>
      <w:r>
        <w:rPr>
          <w:rFonts w:ascii="Times New Roman" w:hAnsi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5" w:right="850" w:bottom="822" w:left="99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left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2"/>
    <w:next w:val="66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2"/>
    <w:next w:val="66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2"/>
    <w:next w:val="66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2"/>
    <w:next w:val="66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2"/>
    <w:next w:val="66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2"/>
    <w:next w:val="66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2"/>
    <w:next w:val="66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2"/>
    <w:next w:val="66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2"/>
    <w:next w:val="66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2"/>
    <w:next w:val="66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3"/>
    <w:link w:val="34"/>
    <w:uiPriority w:val="10"/>
    <w:rPr>
      <w:sz w:val="48"/>
      <w:szCs w:val="48"/>
    </w:rPr>
  </w:style>
  <w:style w:type="paragraph" w:styleId="36">
    <w:name w:val="Subtitle"/>
    <w:basedOn w:val="662"/>
    <w:next w:val="66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3"/>
    <w:link w:val="36"/>
    <w:uiPriority w:val="11"/>
    <w:rPr>
      <w:sz w:val="24"/>
      <w:szCs w:val="24"/>
    </w:rPr>
  </w:style>
  <w:style w:type="paragraph" w:styleId="38">
    <w:name w:val="Quote"/>
    <w:basedOn w:val="662"/>
    <w:next w:val="66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2"/>
    <w:next w:val="66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3"/>
    <w:link w:val="42"/>
    <w:uiPriority w:val="99"/>
  </w:style>
  <w:style w:type="paragraph" w:styleId="44">
    <w:name w:val="Footer"/>
    <w:basedOn w:val="66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3"/>
    <w:link w:val="44"/>
    <w:uiPriority w:val="99"/>
  </w:style>
  <w:style w:type="paragraph" w:styleId="46">
    <w:name w:val="Caption"/>
    <w:basedOn w:val="662"/>
    <w:next w:val="6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3"/>
    <w:uiPriority w:val="99"/>
    <w:unhideWhenUsed/>
    <w:rPr>
      <w:vertAlign w:val="superscript"/>
    </w:rPr>
  </w:style>
  <w:style w:type="paragraph" w:styleId="178">
    <w:name w:val="endnote text"/>
    <w:basedOn w:val="66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3"/>
    <w:uiPriority w:val="99"/>
    <w:semiHidden/>
    <w:unhideWhenUsed/>
    <w:rPr>
      <w:vertAlign w:val="superscript"/>
    </w:rPr>
  </w:style>
  <w:style w:type="paragraph" w:styleId="181">
    <w:name w:val="toc 1"/>
    <w:basedOn w:val="662"/>
    <w:next w:val="66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2"/>
    <w:next w:val="66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2"/>
    <w:next w:val="66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2"/>
    <w:next w:val="66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2"/>
    <w:next w:val="66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2"/>
    <w:next w:val="66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2"/>
    <w:next w:val="66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2"/>
    <w:next w:val="66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2"/>
    <w:next w:val="66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2"/>
    <w:next w:val="662"/>
    <w:uiPriority w:val="99"/>
    <w:unhideWhenUsed/>
    <w:pPr>
      <w:spacing w:after="0" w:afterAutospacing="0"/>
    </w:pPr>
  </w:style>
  <w:style w:type="paragraph" w:styleId="662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663" w:default="1">
    <w:name w:val="Default Paragraph Font"/>
    <w:uiPriority w:val="1"/>
    <w:semiHidden/>
    <w:unhideWhenUsed/>
    <w:qFormat/>
  </w:style>
  <w:style w:type="table" w:styleId="66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Дамирка</dc:creator>
  <cp:revision>3</cp:revision>
  <dcterms:created xsi:type="dcterms:W3CDTF">2026-04-26T12:23:00Z</dcterms:created>
  <dcterms:modified xsi:type="dcterms:W3CDTF">2026-05-04T12:31:19Z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eyJoZGlkIjoiMjNlMGQxZDgyYjNmMzEzZDFmNTk1MTc4MWEzOTQ5YTUifQ==</vt:lpwstr>
  </property>
  <property fmtid="{D5CDD505-2E9C-101B-9397-08002B2CF9AE}" pid="3" name="KSOProductBuildVer">
    <vt:lpwstr>1049-12.1.0.25862</vt:lpwstr>
  </property>
  <property fmtid="{D5CDD505-2E9C-101B-9397-08002B2CF9AE}" pid="4" name="ICV">
    <vt:lpwstr>85833F530C9446B982047DB1BD2FBAA6_12</vt:lpwstr>
  </property>
</Properties>
</file>